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753" w:rsidRPr="00EF2C18" w:rsidRDefault="009C6753" w:rsidP="009C6753">
      <w:pPr>
        <w:spacing w:line="360" w:lineRule="auto"/>
        <w:rPr>
          <w:b/>
          <w:bCs/>
          <w:rtl/>
        </w:rPr>
      </w:pPr>
      <w:r w:rsidRPr="00EF2C18">
        <w:rPr>
          <w:rFonts w:hint="cs"/>
          <w:b/>
          <w:bCs/>
          <w:rtl/>
        </w:rPr>
        <w:t xml:space="preserve">זאב </w:t>
      </w:r>
      <w:proofErr w:type="spellStart"/>
      <w:r w:rsidRPr="00EF2C18">
        <w:rPr>
          <w:rFonts w:hint="cs"/>
          <w:b/>
          <w:bCs/>
          <w:rtl/>
        </w:rPr>
        <w:t>יעבץ</w:t>
      </w:r>
      <w:proofErr w:type="spellEnd"/>
      <w:r w:rsidRPr="00EF2C18">
        <w:rPr>
          <w:rFonts w:hint="cs"/>
          <w:b/>
          <w:bCs/>
          <w:rtl/>
        </w:rPr>
        <w:t xml:space="preserve"> וט"ו בשבט: מתוך ספרו של אסף ידידיה 'לגדל תרבות עבריה: חייו ומשנתו של זאב </w:t>
      </w:r>
      <w:proofErr w:type="spellStart"/>
      <w:r w:rsidRPr="00EF2C18">
        <w:rPr>
          <w:rFonts w:hint="cs"/>
          <w:b/>
          <w:bCs/>
          <w:rtl/>
        </w:rPr>
        <w:t>יעבץ</w:t>
      </w:r>
      <w:proofErr w:type="spellEnd"/>
      <w:r w:rsidRPr="00EF2C18">
        <w:rPr>
          <w:rFonts w:hint="cs"/>
          <w:b/>
          <w:bCs/>
          <w:rtl/>
        </w:rPr>
        <w:t xml:space="preserve"> (ירושלים: מוסד ביאליק, תשע"ו)</w:t>
      </w:r>
    </w:p>
    <w:p w:rsidR="007237FD" w:rsidRDefault="009C6753" w:rsidP="009C6753">
      <w:pPr>
        <w:spacing w:line="360" w:lineRule="auto"/>
        <w:rPr>
          <w:rtl/>
        </w:rPr>
      </w:pPr>
      <w:r>
        <w:rPr>
          <w:rFonts w:hint="cs"/>
          <w:rtl/>
        </w:rPr>
        <w:t xml:space="preserve">זאב </w:t>
      </w:r>
      <w:proofErr w:type="spellStart"/>
      <w:r>
        <w:rPr>
          <w:rFonts w:hint="cs"/>
          <w:rtl/>
        </w:rPr>
        <w:t>יעבץ</w:t>
      </w:r>
      <w:proofErr w:type="spellEnd"/>
      <w:r>
        <w:rPr>
          <w:rFonts w:hint="cs"/>
          <w:rtl/>
        </w:rPr>
        <w:t xml:space="preserve"> היה מחלוצי המחדשים של ט"ו בשבט כחג ארצישראלי מיוחד הקשור להתיישבות המחודשת שלם עם ישראל בארצו. כבר בתכנית הלימודים, שכתב בשנת תרמ"ח עבור בני המושבות החדשות בארץ ישראל, הציע לציין מחדש חגים שנחוגו בעבר לזכר מאורעות היסטוריים בעלי חשיבות לאומית, כמו "חג השלום" בט"ו באב, ציון "</w:t>
      </w:r>
      <w:proofErr w:type="spellStart"/>
      <w:r>
        <w:rPr>
          <w:rFonts w:hint="cs"/>
          <w:rtl/>
        </w:rPr>
        <w:t>נצחון</w:t>
      </w:r>
      <w:proofErr w:type="spellEnd"/>
      <w:r>
        <w:rPr>
          <w:rFonts w:hint="cs"/>
          <w:rtl/>
        </w:rPr>
        <w:t xml:space="preserve"> אחד שנצחו צבאות רבי עקיבא ובר כוכבא על לגיוני רומי" בל"ג בעמר, חנוכה "לזכר המתנדבים החשמונאים </w:t>
      </w:r>
      <w:proofErr w:type="spellStart"/>
      <w:r>
        <w:rPr>
          <w:rFonts w:hint="cs"/>
          <w:rtl/>
        </w:rPr>
        <w:t>מתיתיהו</w:t>
      </w:r>
      <w:proofErr w:type="spellEnd"/>
      <w:r>
        <w:rPr>
          <w:rFonts w:hint="cs"/>
          <w:rtl/>
        </w:rPr>
        <w:t xml:space="preserve"> ויהודה </w:t>
      </w:r>
      <w:proofErr w:type="spellStart"/>
      <w:r>
        <w:rPr>
          <w:rFonts w:hint="cs"/>
          <w:rtl/>
        </w:rPr>
        <w:t>גבורי</w:t>
      </w:r>
      <w:proofErr w:type="spellEnd"/>
      <w:r>
        <w:rPr>
          <w:rFonts w:hint="cs"/>
          <w:rtl/>
        </w:rPr>
        <w:t xml:space="preserve"> האומה" וראש השנה לאילנות בט"ו בשבט. בחידוש החגים הללו לא היה רק היבט פדגוגי אלא גם ביטוי לתפיסתו של </w:t>
      </w:r>
      <w:proofErr w:type="spellStart"/>
      <w:r>
        <w:rPr>
          <w:rFonts w:hint="cs"/>
          <w:rtl/>
        </w:rPr>
        <w:t>יעבץ</w:t>
      </w:r>
      <w:proofErr w:type="spellEnd"/>
      <w:r>
        <w:rPr>
          <w:rFonts w:hint="cs"/>
          <w:rtl/>
        </w:rPr>
        <w:t xml:space="preserve"> בדבר ההמרה הנפשית שצריכים לעבור היהודים בשובם לארץ ישראל וכמובן חלק מחידושה של התרבות העברית המקורית.</w:t>
      </w:r>
    </w:p>
    <w:p w:rsidR="009C6753" w:rsidRDefault="00EF2C18" w:rsidP="00EF2C18">
      <w:pPr>
        <w:spacing w:line="360" w:lineRule="auto"/>
        <w:rPr>
          <w:rtl/>
        </w:rPr>
      </w:pPr>
      <w:r>
        <w:rPr>
          <w:rFonts w:hint="cs"/>
          <w:rtl/>
        </w:rPr>
        <w:t xml:space="preserve">בשנת </w:t>
      </w:r>
      <w:proofErr w:type="spellStart"/>
      <w:r>
        <w:rPr>
          <w:rFonts w:hint="cs"/>
          <w:rtl/>
        </w:rPr>
        <w:t>תר"ן</w:t>
      </w:r>
      <w:proofErr w:type="spellEnd"/>
      <w:r>
        <w:rPr>
          <w:rFonts w:hint="cs"/>
          <w:rtl/>
        </w:rPr>
        <w:t xml:space="preserve"> יישם</w:t>
      </w:r>
      <w:r w:rsidR="009C6753">
        <w:rPr>
          <w:rFonts w:hint="cs"/>
          <w:rtl/>
        </w:rPr>
        <w:t xml:space="preserve"> </w:t>
      </w:r>
      <w:proofErr w:type="spellStart"/>
      <w:r>
        <w:rPr>
          <w:rFonts w:hint="cs"/>
          <w:rtl/>
        </w:rPr>
        <w:t>יעבץ</w:t>
      </w:r>
      <w:proofErr w:type="spellEnd"/>
      <w:r>
        <w:rPr>
          <w:rFonts w:hint="cs"/>
          <w:rtl/>
        </w:rPr>
        <w:t xml:space="preserve"> את הצעתו לציון חדש וארצישראלי של ט"ו בשבט</w:t>
      </w:r>
      <w:r w:rsidR="009C6753">
        <w:rPr>
          <w:rFonts w:hint="cs"/>
          <w:rtl/>
        </w:rPr>
        <w:t>, עת ערך עם תלמידיו בזיכרון יעקב סיור לימודי-טקסי של נטיעת שתילים ושתילת פרחים במושבה.</w:t>
      </w:r>
      <w:r w:rsidR="009C6753">
        <w:rPr>
          <w:rStyle w:val="a5"/>
          <w:rtl/>
        </w:rPr>
        <w:footnoteReference w:id="1"/>
      </w:r>
      <w:r w:rsidR="009C6753">
        <w:rPr>
          <w:rFonts w:hint="cs"/>
          <w:rtl/>
        </w:rPr>
        <w:t xml:space="preserve"> נימוקו לצעד זה: "למען חבב את הנטעים, נטעי הארץ אשר נטע ה' לאבותינו לשבוע מטובם ולהתענג מיופיים, יש לבית-הספר לעשות יום טוב את היום אשר נועד מימי קדם בישראל לראש השנה לאילנות, לערוך בו במערכת, כרוב חן והדר, את העצים, הנטעים, השושנים".</w:t>
      </w:r>
      <w:r w:rsidR="009C6753">
        <w:rPr>
          <w:rStyle w:val="a5"/>
          <w:rtl/>
        </w:rPr>
        <w:footnoteReference w:id="2"/>
      </w:r>
      <w:r w:rsidR="009C6753">
        <w:rPr>
          <w:rFonts w:hint="cs"/>
          <w:rtl/>
        </w:rPr>
        <w:t xml:space="preserve"> לא ברור אם מנהג הנטיעות בט"ו בשבט, שאומץ בשנת 1908 על ידי הסתדרות המורים ומאוחר יותר על ידי הקרן הקיימת לישראל, נוסד בהשראתו של </w:t>
      </w:r>
      <w:proofErr w:type="spellStart"/>
      <w:r w:rsidR="009C6753">
        <w:rPr>
          <w:rFonts w:hint="cs"/>
          <w:rtl/>
        </w:rPr>
        <w:t>יעבץ</w:t>
      </w:r>
      <w:proofErr w:type="spellEnd"/>
      <w:r w:rsidR="009C6753">
        <w:rPr>
          <w:rFonts w:hint="cs"/>
          <w:rtl/>
        </w:rPr>
        <w:t>.</w:t>
      </w:r>
      <w:r w:rsidR="009C6753">
        <w:rPr>
          <w:rStyle w:val="a5"/>
          <w:rtl/>
        </w:rPr>
        <w:footnoteReference w:id="3"/>
      </w:r>
    </w:p>
    <w:p w:rsidR="009C6753" w:rsidRDefault="00EF2C18" w:rsidP="00EF2C18">
      <w:pPr>
        <w:spacing w:line="360" w:lineRule="auto"/>
        <w:rPr>
          <w:rtl/>
        </w:rPr>
      </w:pPr>
      <w:r>
        <w:rPr>
          <w:rFonts w:hint="cs"/>
          <w:rtl/>
        </w:rPr>
        <w:t>בסיפור שכתב כמה שנים מאוחר יותר בשם 'ראש השנה לאילנות'</w:t>
      </w:r>
      <w:r w:rsidR="009C6753">
        <w:rPr>
          <w:rFonts w:hint="cs"/>
          <w:rtl/>
        </w:rPr>
        <w:t>, הוא מתאר את סעודת ט"ו בשבט בארץ ישראל כדבר טבעי בניגוד ל</w:t>
      </w:r>
      <w:r>
        <w:rPr>
          <w:rFonts w:hint="cs"/>
          <w:rtl/>
        </w:rPr>
        <w:t xml:space="preserve">ציון יום זה </w:t>
      </w:r>
      <w:r w:rsidR="009C6753">
        <w:rPr>
          <w:rFonts w:hint="cs"/>
          <w:rtl/>
        </w:rPr>
        <w:t>באירופה</w:t>
      </w:r>
      <w:r>
        <w:rPr>
          <w:rFonts w:hint="cs"/>
          <w:rtl/>
        </w:rPr>
        <w:t xml:space="preserve"> הקפואה</w:t>
      </w:r>
      <w:r w:rsidR="009C6753">
        <w:rPr>
          <w:rFonts w:hint="cs"/>
          <w:rtl/>
        </w:rPr>
        <w:t>:</w:t>
      </w:r>
    </w:p>
    <w:p w:rsidR="009C6753" w:rsidRDefault="009C6753" w:rsidP="009C6753">
      <w:pPr>
        <w:pStyle w:val="a6"/>
        <w:spacing w:line="360" w:lineRule="auto"/>
        <w:ind w:left="576" w:firstLine="0"/>
        <w:jc w:val="left"/>
        <w:rPr>
          <w:rFonts w:ascii="Arial" w:hAnsi="Arial" w:cs="Arial"/>
          <w:sz w:val="22"/>
          <w:szCs w:val="22"/>
          <w:rtl/>
        </w:rPr>
      </w:pPr>
      <w:r>
        <w:rPr>
          <w:rFonts w:ascii="Arial" w:hAnsi="Arial" w:cs="Arial"/>
          <w:sz w:val="22"/>
          <w:szCs w:val="22"/>
          <w:rtl/>
        </w:rPr>
        <w:t xml:space="preserve">ויהי בהסב אנשי הבית אל </w:t>
      </w:r>
      <w:proofErr w:type="spellStart"/>
      <w:r>
        <w:rPr>
          <w:rFonts w:ascii="Arial" w:hAnsi="Arial" w:cs="Arial"/>
          <w:sz w:val="22"/>
          <w:szCs w:val="22"/>
          <w:rtl/>
        </w:rPr>
        <w:t>השלחן</w:t>
      </w:r>
      <w:proofErr w:type="spellEnd"/>
      <w:r>
        <w:rPr>
          <w:rFonts w:ascii="Arial" w:hAnsi="Arial" w:cs="Arial"/>
          <w:sz w:val="22"/>
          <w:szCs w:val="22"/>
          <w:rtl/>
        </w:rPr>
        <w:t xml:space="preserve"> ללחם הצהרים ויאמר בן-ארח: "לוּ הגיד לי איש בארץ מגורי, כי </w:t>
      </w:r>
      <w:proofErr w:type="spellStart"/>
      <w:r>
        <w:rPr>
          <w:rFonts w:ascii="Arial" w:hAnsi="Arial" w:cs="Arial"/>
          <w:sz w:val="22"/>
          <w:szCs w:val="22"/>
          <w:rtl/>
        </w:rPr>
        <w:t>נסעוד</w:t>
      </w:r>
      <w:proofErr w:type="spellEnd"/>
      <w:r>
        <w:rPr>
          <w:rFonts w:ascii="Arial" w:hAnsi="Arial" w:cs="Arial"/>
          <w:sz w:val="22"/>
          <w:szCs w:val="22"/>
          <w:rtl/>
        </w:rPr>
        <w:t xml:space="preserve"> בחמשה עשר בשבט תחת כפת השמים ובנינו יביאו ענפי עצי פרי ובנותינו תקטופנה ציצי שדה, כי עתה כמתעתע היה בעיני. כי מה אנחנו רואים בארצות הצפון ביום זה, קרח </w:t>
      </w:r>
      <w:proofErr w:type="spellStart"/>
      <w:r>
        <w:rPr>
          <w:rFonts w:ascii="Arial" w:hAnsi="Arial" w:cs="Arial"/>
          <w:sz w:val="22"/>
          <w:szCs w:val="22"/>
          <w:rtl/>
        </w:rPr>
        <w:t>וקפאון</w:t>
      </w:r>
      <w:proofErr w:type="spellEnd"/>
      <w:r>
        <w:rPr>
          <w:rFonts w:ascii="Arial" w:hAnsi="Arial" w:cs="Arial"/>
          <w:sz w:val="22"/>
          <w:szCs w:val="22"/>
          <w:rtl/>
        </w:rPr>
        <w:t xml:space="preserve">, נֶפץ ורסיסי שלג, דלף טורד, אפלה וחלקלקות, ומה תשמענה </w:t>
      </w:r>
      <w:proofErr w:type="spellStart"/>
      <w:r>
        <w:rPr>
          <w:rFonts w:ascii="Arial" w:hAnsi="Arial" w:cs="Arial"/>
          <w:sz w:val="22"/>
          <w:szCs w:val="22"/>
          <w:rtl/>
        </w:rPr>
        <w:t>אזנינו</w:t>
      </w:r>
      <w:proofErr w:type="spellEnd"/>
      <w:r>
        <w:rPr>
          <w:rFonts w:ascii="Arial" w:hAnsi="Arial" w:cs="Arial"/>
          <w:sz w:val="22"/>
          <w:szCs w:val="22"/>
          <w:rtl/>
        </w:rPr>
        <w:t xml:space="preserve"> שם? שרֵקת רוח סערה וילל סופה. ופה היה לנגד עינינו הזית בהודו והעוף נותן בשיר קולו, ואתמול בעברי על פני פרדסי יפו כָהו כמעט עיני לנֹגה ברק אלפי רבבות </w:t>
      </w:r>
      <w:proofErr w:type="spellStart"/>
      <w:r>
        <w:rPr>
          <w:rFonts w:ascii="Arial" w:hAnsi="Arial" w:cs="Arial"/>
          <w:sz w:val="22"/>
          <w:szCs w:val="22"/>
          <w:rtl/>
        </w:rPr>
        <w:t>הלמונים</w:t>
      </w:r>
      <w:proofErr w:type="spellEnd"/>
      <w:r>
        <w:rPr>
          <w:rFonts w:ascii="Arial" w:hAnsi="Arial" w:cs="Arial"/>
          <w:sz w:val="22"/>
          <w:szCs w:val="22"/>
          <w:rtl/>
        </w:rPr>
        <w:t xml:space="preserve"> ותפוחי הזהב הנוצצים ככוכבים בתוך חֶשְכַת </w:t>
      </w:r>
      <w:proofErr w:type="spellStart"/>
      <w:r>
        <w:rPr>
          <w:rFonts w:ascii="Arial" w:hAnsi="Arial" w:cs="Arial"/>
          <w:sz w:val="22"/>
          <w:szCs w:val="22"/>
          <w:rtl/>
        </w:rPr>
        <w:t>עפאי</w:t>
      </w:r>
      <w:proofErr w:type="spellEnd"/>
      <w:r>
        <w:rPr>
          <w:rFonts w:ascii="Arial" w:hAnsi="Arial" w:cs="Arial"/>
          <w:sz w:val="22"/>
          <w:szCs w:val="22"/>
          <w:rtl/>
        </w:rPr>
        <w:t xml:space="preserve"> העצים אשר ישיתו כלל צִלם".</w:t>
      </w:r>
      <w:r>
        <w:rPr>
          <w:rStyle w:val="a5"/>
          <w:rFonts w:ascii="Arial" w:hAnsi="Arial" w:cs="Arial"/>
          <w:sz w:val="22"/>
          <w:szCs w:val="22"/>
          <w:rtl/>
        </w:rPr>
        <w:footnoteReference w:id="4"/>
      </w:r>
    </w:p>
    <w:p w:rsidR="009C6753" w:rsidRDefault="009C6753" w:rsidP="009C6753">
      <w:pPr>
        <w:rPr>
          <w:rtl/>
        </w:rPr>
      </w:pPr>
    </w:p>
    <w:p w:rsidR="00EF2C18" w:rsidRDefault="00EF2C18" w:rsidP="00EF2C18">
      <w:r>
        <w:rPr>
          <w:rFonts w:hint="cs"/>
          <w:rtl/>
        </w:rPr>
        <w:t>ההתאמה בין אופיו המקורי של ט"ו בשבט לבין אקלימה של ארץ ישראל מבטאת לדעתו את ההכרח התרבותי-רוחני</w:t>
      </w:r>
      <w:bookmarkStart w:id="0" w:name="_GoBack"/>
      <w:bookmarkEnd w:id="0"/>
      <w:r>
        <w:rPr>
          <w:rFonts w:hint="cs"/>
          <w:rtl/>
        </w:rPr>
        <w:t xml:space="preserve"> של שיבת ציון </w:t>
      </w:r>
      <w:r>
        <w:rPr>
          <w:rtl/>
        </w:rPr>
        <w:t>–</w:t>
      </w:r>
      <w:r>
        <w:rPr>
          <w:rFonts w:hint="cs"/>
          <w:rtl/>
        </w:rPr>
        <w:t xml:space="preserve"> רק בארץ ישראל ניתן לדעתו </w:t>
      </w:r>
      <w:r>
        <w:rPr>
          <w:rFonts w:ascii="Arial" w:hAnsi="Arial" w:hint="cs"/>
          <w:rtl/>
        </w:rPr>
        <w:t xml:space="preserve">"לגדל תרבות עבריה, זכה וטהורה מכל סיגי </w:t>
      </w:r>
      <w:proofErr w:type="spellStart"/>
      <w:r>
        <w:rPr>
          <w:rFonts w:ascii="Arial" w:hAnsi="Arial" w:hint="cs"/>
          <w:rtl/>
        </w:rPr>
        <w:t>אירופא</w:t>
      </w:r>
      <w:proofErr w:type="spellEnd"/>
      <w:r>
        <w:rPr>
          <w:rFonts w:ascii="Arial" w:hAnsi="Arial" w:hint="cs"/>
          <w:rtl/>
        </w:rPr>
        <w:t xml:space="preserve"> ומסודרת בסדר אירופי, בין הנאחזים באחוזות חובבי ציון, אשר את הנאחזים האלה הנני רואה כאבן שתיה אשר ממנו יושתת הלאום בשוב ה' את שבות עמו.</w:t>
      </w:r>
      <w:r>
        <w:rPr>
          <w:rStyle w:val="a5"/>
          <w:rFonts w:ascii="Arial" w:hAnsi="Arial"/>
        </w:rPr>
        <w:footnoteReference w:id="5"/>
      </w:r>
    </w:p>
    <w:sectPr w:rsidR="00EF2C18" w:rsidSect="001A7320">
      <w:pgSz w:w="11906" w:h="16838"/>
      <w:pgMar w:top="1134" w:right="1701" w:bottom="1134" w:left="170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800" w:rsidRDefault="003C1800" w:rsidP="009C6753">
      <w:pPr>
        <w:spacing w:after="0" w:line="240" w:lineRule="auto"/>
      </w:pPr>
      <w:r>
        <w:separator/>
      </w:r>
    </w:p>
  </w:endnote>
  <w:endnote w:type="continuationSeparator" w:id="0">
    <w:p w:rsidR="003C1800" w:rsidRDefault="003C1800" w:rsidP="009C6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800" w:rsidRDefault="003C1800" w:rsidP="009C6753">
      <w:pPr>
        <w:spacing w:after="0" w:line="240" w:lineRule="auto"/>
      </w:pPr>
      <w:r>
        <w:separator/>
      </w:r>
    </w:p>
  </w:footnote>
  <w:footnote w:type="continuationSeparator" w:id="0">
    <w:p w:rsidR="003C1800" w:rsidRDefault="003C1800" w:rsidP="009C6753">
      <w:pPr>
        <w:spacing w:after="0" w:line="240" w:lineRule="auto"/>
      </w:pPr>
      <w:r>
        <w:continuationSeparator/>
      </w:r>
    </w:p>
  </w:footnote>
  <w:footnote w:id="1">
    <w:p w:rsidR="009C6753" w:rsidRDefault="009C6753" w:rsidP="009C6753">
      <w:pPr>
        <w:pStyle w:val="a3"/>
      </w:pPr>
      <w:r>
        <w:rPr>
          <w:rStyle w:val="a5"/>
        </w:rPr>
        <w:footnoteRef/>
      </w:r>
      <w:r>
        <w:rPr>
          <w:rtl/>
        </w:rPr>
        <w:t xml:space="preserve"> </w:t>
      </w:r>
      <w:r>
        <w:rPr>
          <w:rFonts w:hint="cs"/>
          <w:rtl/>
        </w:rPr>
        <w:t>הכהן, מתי התחילו.</w:t>
      </w:r>
    </w:p>
  </w:footnote>
  <w:footnote w:id="2">
    <w:p w:rsidR="009C6753" w:rsidRDefault="009C6753" w:rsidP="009C6753">
      <w:pPr>
        <w:pStyle w:val="a3"/>
      </w:pPr>
      <w:r>
        <w:rPr>
          <w:rStyle w:val="a5"/>
        </w:rPr>
        <w:footnoteRef/>
      </w:r>
      <w:r>
        <w:rPr>
          <w:rtl/>
        </w:rPr>
        <w:t xml:space="preserve"> </w:t>
      </w:r>
      <w:proofErr w:type="spellStart"/>
      <w:r>
        <w:rPr>
          <w:rFonts w:hint="cs"/>
          <w:rtl/>
        </w:rPr>
        <w:t>יעבץ</w:t>
      </w:r>
      <w:proofErr w:type="spellEnd"/>
      <w:r>
        <w:rPr>
          <w:rFonts w:hint="cs"/>
          <w:rtl/>
        </w:rPr>
        <w:t>, על דבר החינוך, עמ' 60.</w:t>
      </w:r>
    </w:p>
  </w:footnote>
  <w:footnote w:id="3">
    <w:p w:rsidR="009C6753" w:rsidRDefault="009C6753" w:rsidP="009C6753">
      <w:pPr>
        <w:pStyle w:val="a3"/>
      </w:pPr>
      <w:r>
        <w:rPr>
          <w:rStyle w:val="a5"/>
        </w:rPr>
        <w:footnoteRef/>
      </w:r>
      <w:r>
        <w:rPr>
          <w:rtl/>
        </w:rPr>
        <w:t xml:space="preserve"> </w:t>
      </w:r>
      <w:r>
        <w:rPr>
          <w:rFonts w:hint="cs"/>
          <w:rtl/>
        </w:rPr>
        <w:t xml:space="preserve">חזקי שוהם טען, כי ייחוס מנהג הנטיעות בט"ו בשבט </w:t>
      </w:r>
      <w:proofErr w:type="spellStart"/>
      <w:r>
        <w:rPr>
          <w:rFonts w:hint="cs"/>
          <w:rtl/>
        </w:rPr>
        <w:t>ליעבץ</w:t>
      </w:r>
      <w:proofErr w:type="spellEnd"/>
      <w:r>
        <w:rPr>
          <w:rFonts w:hint="cs"/>
          <w:rtl/>
        </w:rPr>
        <w:t>, בטעות יסודו, וכי מייסד המנהג הוא המחנך חיים אריה זוטא. על כך, ראו: שוהם, מן העיר.</w:t>
      </w:r>
    </w:p>
  </w:footnote>
  <w:footnote w:id="4">
    <w:p w:rsidR="009C6753" w:rsidRDefault="009C6753" w:rsidP="009C6753">
      <w:pPr>
        <w:pStyle w:val="a3"/>
        <w:rPr>
          <w:rtl/>
        </w:rPr>
      </w:pPr>
      <w:r>
        <w:rPr>
          <w:rStyle w:val="a5"/>
        </w:rPr>
        <w:footnoteRef/>
      </w:r>
      <w:r>
        <w:rPr>
          <w:rtl/>
        </w:rPr>
        <w:t xml:space="preserve"> </w:t>
      </w:r>
      <w:proofErr w:type="spellStart"/>
      <w:r>
        <w:rPr>
          <w:rFonts w:hint="cs"/>
          <w:rtl/>
        </w:rPr>
        <w:t>יעבץ</w:t>
      </w:r>
      <w:proofErr w:type="spellEnd"/>
      <w:r>
        <w:rPr>
          <w:rFonts w:hint="cs"/>
          <w:rtl/>
        </w:rPr>
        <w:t>, ראש השנה.</w:t>
      </w:r>
    </w:p>
  </w:footnote>
  <w:footnote w:id="5">
    <w:p w:rsidR="00EF2C18" w:rsidRDefault="00EF2C18" w:rsidP="00EF2C18">
      <w:pPr>
        <w:pStyle w:val="a3"/>
        <w:rPr>
          <w:rtl/>
        </w:rPr>
      </w:pPr>
      <w:r>
        <w:rPr>
          <w:rStyle w:val="a5"/>
        </w:rPr>
        <w:footnoteRef/>
      </w:r>
      <w:r>
        <w:rPr>
          <w:rFonts w:hint="cs"/>
          <w:rtl/>
        </w:rPr>
        <w:t xml:space="preserve"> מכתב זאב </w:t>
      </w:r>
      <w:proofErr w:type="spellStart"/>
      <w:r>
        <w:rPr>
          <w:rFonts w:hint="cs"/>
          <w:rtl/>
        </w:rPr>
        <w:t>יעבץ</w:t>
      </w:r>
      <w:proofErr w:type="spellEnd"/>
      <w:r>
        <w:rPr>
          <w:rFonts w:hint="cs"/>
          <w:rtl/>
        </w:rPr>
        <w:t xml:space="preserve"> </w:t>
      </w:r>
      <w:proofErr w:type="spellStart"/>
      <w:r>
        <w:rPr>
          <w:rFonts w:hint="cs"/>
          <w:rtl/>
        </w:rPr>
        <w:t>לא"א</w:t>
      </w:r>
      <w:proofErr w:type="spellEnd"/>
      <w:r>
        <w:rPr>
          <w:rFonts w:hint="cs"/>
          <w:rtl/>
        </w:rPr>
        <w:t xml:space="preserve"> הרכבי, כ"ד תמוז תרמ"ו,  </w:t>
      </w:r>
      <w:proofErr w:type="spellStart"/>
      <w:r>
        <w:rPr>
          <w:rFonts w:hint="cs"/>
          <w:rtl/>
        </w:rPr>
        <w:t>אצ"מ</w:t>
      </w:r>
      <w:proofErr w:type="spellEnd"/>
      <w:r>
        <w:rPr>
          <w:rFonts w:hint="cs"/>
          <w:rtl/>
        </w:rPr>
        <w:t xml:space="preserve"> </w:t>
      </w:r>
      <w:r>
        <w:t>A9\139</w:t>
      </w:r>
      <w:r>
        <w:rPr>
          <w:rFonts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753"/>
    <w:rsid w:val="00052EEF"/>
    <w:rsid w:val="001A7320"/>
    <w:rsid w:val="003C1800"/>
    <w:rsid w:val="007237FD"/>
    <w:rsid w:val="009C6753"/>
    <w:rsid w:val="00EF2C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53"/>
    <w:pPr>
      <w:bidi/>
      <w:spacing w:after="200" w:line="27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9C6753"/>
    <w:pPr>
      <w:spacing w:after="0" w:line="240" w:lineRule="auto"/>
    </w:pPr>
    <w:rPr>
      <w:rFonts w:ascii="Times New Roman" w:eastAsia="Times New Roman" w:hAnsi="Times New Roman" w:cs="Times New Roman"/>
      <w:sz w:val="20"/>
      <w:szCs w:val="20"/>
    </w:rPr>
  </w:style>
  <w:style w:type="character" w:customStyle="1" w:styleId="a4">
    <w:name w:val="טקסט הערת שוליים תו"/>
    <w:basedOn w:val="a0"/>
    <w:link w:val="a3"/>
    <w:semiHidden/>
    <w:rsid w:val="009C6753"/>
    <w:rPr>
      <w:rFonts w:ascii="Times New Roman" w:eastAsia="Times New Roman" w:hAnsi="Times New Roman" w:cs="Times New Roman"/>
      <w:sz w:val="20"/>
      <w:szCs w:val="20"/>
    </w:rPr>
  </w:style>
  <w:style w:type="character" w:styleId="a5">
    <w:name w:val="footnote reference"/>
    <w:semiHidden/>
    <w:unhideWhenUsed/>
    <w:rsid w:val="009C6753"/>
    <w:rPr>
      <w:vertAlign w:val="superscript"/>
    </w:rPr>
  </w:style>
  <w:style w:type="paragraph" w:customStyle="1" w:styleId="a6">
    <w:name w:val="בי_פרוזה"/>
    <w:basedOn w:val="a"/>
    <w:rsid w:val="009C6753"/>
    <w:pPr>
      <w:spacing w:before="120" w:after="0" w:line="240" w:lineRule="auto"/>
      <w:ind w:firstLine="454"/>
      <w:jc w:val="both"/>
    </w:pPr>
    <w:rPr>
      <w:rFonts w:ascii="Times New Roman" w:eastAsia="Times New Roman" w:hAnsi="Times New Roman" w:cs="Times New Roman"/>
      <w:sz w:val="24"/>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53"/>
    <w:pPr>
      <w:bidi/>
      <w:spacing w:after="200" w:line="27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9C6753"/>
    <w:pPr>
      <w:spacing w:after="0" w:line="240" w:lineRule="auto"/>
    </w:pPr>
    <w:rPr>
      <w:rFonts w:ascii="Times New Roman" w:eastAsia="Times New Roman" w:hAnsi="Times New Roman" w:cs="Times New Roman"/>
      <w:sz w:val="20"/>
      <w:szCs w:val="20"/>
    </w:rPr>
  </w:style>
  <w:style w:type="character" w:customStyle="1" w:styleId="a4">
    <w:name w:val="טקסט הערת שוליים תו"/>
    <w:basedOn w:val="a0"/>
    <w:link w:val="a3"/>
    <w:semiHidden/>
    <w:rsid w:val="009C6753"/>
    <w:rPr>
      <w:rFonts w:ascii="Times New Roman" w:eastAsia="Times New Roman" w:hAnsi="Times New Roman" w:cs="Times New Roman"/>
      <w:sz w:val="20"/>
      <w:szCs w:val="20"/>
    </w:rPr>
  </w:style>
  <w:style w:type="character" w:styleId="a5">
    <w:name w:val="footnote reference"/>
    <w:semiHidden/>
    <w:unhideWhenUsed/>
    <w:rsid w:val="009C6753"/>
    <w:rPr>
      <w:vertAlign w:val="superscript"/>
    </w:rPr>
  </w:style>
  <w:style w:type="paragraph" w:customStyle="1" w:styleId="a6">
    <w:name w:val="בי_פרוזה"/>
    <w:basedOn w:val="a"/>
    <w:rsid w:val="009C6753"/>
    <w:pPr>
      <w:spacing w:before="120" w:after="0" w:line="240" w:lineRule="auto"/>
      <w:ind w:firstLine="454"/>
      <w:jc w:val="both"/>
    </w:pPr>
    <w:rPr>
      <w:rFonts w:ascii="Times New Roman" w:eastAsia="Times New Roman" w:hAnsi="Times New Roman" w:cs="Times New Roman"/>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375</Words>
  <Characters>1875</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Asaf Yedidya</dc:creator>
  <cp:keywords/>
  <dc:description/>
  <cp:lastModifiedBy>dvora</cp:lastModifiedBy>
  <cp:revision>2</cp:revision>
  <dcterms:created xsi:type="dcterms:W3CDTF">2017-01-24T08:36:00Z</dcterms:created>
  <dcterms:modified xsi:type="dcterms:W3CDTF">2017-01-24T09:00:00Z</dcterms:modified>
</cp:coreProperties>
</file>